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11D3D">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501102</w:t>
      </w:r>
      <w:bookmarkStart w:id="8" w:name="_GoBack"/>
      <w:bookmarkEnd w:id="8"/>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bCs/>
          <w:sz w:val="24"/>
          <w:szCs w:val="24"/>
          <w:highlight w:val="cyan"/>
        </w:rPr>
      </w:pPr>
      <w:r>
        <w:rPr>
          <w:rFonts w:hint="default" w:ascii="Times New Roman" w:hAnsi="Times New Roman" w:cs="Times New Roman"/>
          <w:b/>
          <w:bCs/>
          <w:sz w:val="24"/>
        </w:rPr>
        <w:t>Athens, GR, 17</w:t>
      </w:r>
      <w:r>
        <w:rPr>
          <w:rFonts w:hint="default" w:ascii="Times New Roman" w:hAnsi="Times New Roman" w:cs="Times New Roman"/>
          <w:b/>
          <w:bCs/>
          <w:sz w:val="24"/>
          <w:vertAlign w:val="superscript"/>
        </w:rPr>
        <w:t>th</w:t>
      </w:r>
      <w:r>
        <w:rPr>
          <w:rFonts w:hint="default" w:ascii="Times New Roman" w:hAnsi="Times New Roman" w:cs="Times New Roman"/>
          <w:b/>
          <w:bCs/>
          <w:sz w:val="24"/>
          <w:vertAlign w:val="superscript"/>
          <w:lang w:val="en-US" w:eastAsia="zh-CN"/>
        </w:rPr>
        <w:t xml:space="preserve"> </w:t>
      </w:r>
      <w:r>
        <w:rPr>
          <w:rFonts w:hint="default" w:ascii="Times New Roman" w:hAnsi="Times New Roman" w:eastAsia="宋体" w:cs="Times New Roman"/>
          <w:b/>
          <w:bCs/>
          <w:sz w:val="24"/>
          <w:szCs w:val="24"/>
          <w:lang w:eastAsia="zh-CN"/>
        </w:rPr>
        <w:t>–</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rPr>
        <w:t>21</w:t>
      </w:r>
      <w:r>
        <w:rPr>
          <w:rFonts w:hint="default" w:ascii="Times New Roman" w:hAnsi="Times New Roman" w:cs="Times New Roman"/>
          <w:b/>
          <w:bCs/>
          <w:sz w:val="24"/>
          <w:vertAlign w:val="superscript"/>
        </w:rPr>
        <w:t>st</w:t>
      </w:r>
      <w:r>
        <w:rPr>
          <w:rFonts w:hint="default" w:ascii="Times New Roman" w:hAnsi="Times New Roman" w:cs="Times New Roman"/>
          <w:b/>
          <w:bCs/>
          <w:sz w:val="24"/>
        </w:rPr>
        <w:t xml:space="preserve"> February, 2025</w:t>
      </w:r>
    </w:p>
    <w:p w14:paraId="62029748">
      <w:pPr>
        <w:tabs>
          <w:tab w:val="left" w:pos="1985"/>
        </w:tabs>
        <w:rPr>
          <w:rFonts w:ascii="Times New Roman" w:hAnsi="Times New Roman"/>
          <w:b/>
          <w:sz w:val="22"/>
          <w:highlight w:val="none"/>
        </w:rPr>
      </w:pPr>
    </w:p>
    <w:p w14:paraId="2AB3800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5</w:t>
      </w:r>
      <w:r>
        <w:rPr>
          <w:rFonts w:ascii="Times New Roman" w:hAnsi="Times New Roman"/>
          <w:sz w:val="22"/>
          <w:highlight w:val="none"/>
        </w:rPr>
        <w:t>.</w:t>
      </w:r>
      <w:r>
        <w:rPr>
          <w:rFonts w:hint="eastAsia" w:ascii="Times New Roman" w:hAnsi="Times New Roman"/>
          <w:sz w:val="22"/>
          <w:highlight w:val="none"/>
          <w:lang w:val="en-US" w:eastAsia="zh-CN"/>
        </w:rPr>
        <w:t>2</w:t>
      </w:r>
      <w:r>
        <w:rPr>
          <w:rFonts w:hint="eastAsia"/>
          <w:sz w:val="22"/>
          <w:highlight w:val="none"/>
          <w:lang w:val="en-US" w:eastAsia="zh-CN"/>
        </w:rPr>
        <w:t>3</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2797AD8D">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F5BFCA9">
      <w:pPr>
        <w:rPr>
          <w:rFonts w:ascii="Times New Roman" w:hAnsi="Times New Roman"/>
          <w:sz w:val="22"/>
          <w:highlight w:val="none"/>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hint="eastAsia" w:ascii="Times New Roman" w:hAnsi="Times New Roman" w:eastAsia="宋体" w:cs="Times New Roman"/>
          <w:sz w:val="22"/>
          <w:highlight w:val="none"/>
          <w:lang w:val="en-US" w:eastAsia="zh-CN"/>
        </w:rPr>
        <w:t>(</w:t>
      </w:r>
      <w:r>
        <w:rPr>
          <w:rFonts w:hint="eastAsia" w:ascii="Times New Roman" w:hAnsi="Times New Roman" w:eastAsia="宋体" w:cs="Times New Roman"/>
          <w:sz w:val="22"/>
          <w:highlight w:val="none"/>
        </w:rPr>
        <w:t>NR_Mob_enh2-Core</w:t>
      </w:r>
      <w:r>
        <w:rPr>
          <w:rFonts w:hint="eastAsia" w:ascii="Times New Roman" w:hAnsi="Times New Roman" w:eastAsia="宋体" w:cs="Times New Roman"/>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sz w:val="22"/>
          <w:highlight w:val="none"/>
          <w:lang w:val="en-US" w:eastAsia="zh-CN"/>
        </w:rPr>
        <w:t>RRM</w:t>
      </w:r>
      <w:r>
        <w:rPr>
          <w:rFonts w:hint="eastAsia" w:ascii="Times New Roman" w:hAnsi="Times New Roman"/>
          <w:sz w:val="22"/>
          <w:highlight w:val="none"/>
          <w:lang w:val="en-US" w:eastAsia="zh-CN"/>
        </w:rPr>
        <w:t xml:space="preserve"> maintenance</w:t>
      </w:r>
      <w:r>
        <w:rPr>
          <w:rFonts w:hint="eastAsia"/>
          <w:sz w:val="22"/>
          <w:highlight w:val="none"/>
          <w:lang w:val="en-US" w:eastAsia="zh-CN"/>
        </w:rPr>
        <w:t xml:space="preserve"> </w:t>
      </w:r>
      <w:r>
        <w:rPr>
          <w:rFonts w:hint="eastAsia" w:ascii="Times New Roman" w:hAnsi="Times New Roman"/>
          <w:sz w:val="22"/>
          <w:highlight w:val="none"/>
          <w:lang w:val="en-US" w:eastAsia="zh-CN"/>
        </w:rPr>
        <w:t xml:space="preserve">for </w:t>
      </w:r>
      <w:r>
        <w:rPr>
          <w:rFonts w:hint="eastAsia"/>
          <w:sz w:val="22"/>
          <w:highlight w:val="none"/>
          <w:lang w:val="en-US" w:eastAsia="zh-CN"/>
        </w:rPr>
        <w:t xml:space="preserve">Rel-18 </w:t>
      </w:r>
      <w:r>
        <w:rPr>
          <w:rFonts w:hint="eastAsia" w:ascii="Times New Roman" w:hAnsi="Times New Roman"/>
          <w:sz w:val="22"/>
          <w:highlight w:val="none"/>
          <w:lang w:val="en-US" w:eastAsia="zh-CN"/>
        </w:rPr>
        <w:t>LTM</w:t>
      </w:r>
    </w:p>
    <w:bookmarkEnd w:id="4"/>
    <w:bookmarkEnd w:id="5"/>
    <w:p w14:paraId="3A29F79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6FDB0E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5D9E2FC">
      <w:pPr>
        <w:spacing w:after="180" w:line="240" w:lineRule="exact"/>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last meeting, </w:t>
      </w:r>
      <w:r>
        <w:rPr>
          <w:rFonts w:hint="eastAsia"/>
          <w:sz w:val="20"/>
          <w:szCs w:val="20"/>
          <w:lang w:val="en-US" w:eastAsia="zh-CN"/>
        </w:rPr>
        <w:t>there was discussion on the maintenance for Rel-18 LTM, and a WF was approved</w:t>
      </w:r>
      <w:r>
        <w:rPr>
          <w:rFonts w:ascii="Times New Roman" w:hAnsi="Times New Roman"/>
          <w:sz w:val="20"/>
          <w:szCs w:val="20"/>
        </w:rPr>
        <w:t xml:space="preserve"> [</w:t>
      </w:r>
      <w:r>
        <w:rPr>
          <w:rFonts w:hint="eastAsia" w:ascii="Times New Roman" w:hAnsi="Times New Roman"/>
          <w:sz w:val="20"/>
          <w:szCs w:val="20"/>
          <w:lang w:val="en-US" w:eastAsia="zh-CN"/>
        </w:rPr>
        <w:t>1</w:t>
      </w:r>
      <w:r>
        <w:rPr>
          <w:rFonts w:ascii="Times New Roman" w:hAnsi="Times New Roman"/>
          <w:sz w:val="20"/>
          <w:szCs w:val="20"/>
        </w:rPr>
        <w:t xml:space="preserve">]. This contribution provides discussion on </w:t>
      </w:r>
      <w:r>
        <w:rPr>
          <w:rFonts w:hint="eastAsia"/>
          <w:sz w:val="20"/>
          <w:szCs w:val="20"/>
          <w:lang w:val="en-US" w:eastAsia="zh-CN"/>
        </w:rPr>
        <w:t>the open</w:t>
      </w:r>
      <w:r>
        <w:rPr>
          <w:rFonts w:ascii="Times New Roman" w:hAnsi="Times New Roman"/>
          <w:sz w:val="20"/>
          <w:szCs w:val="20"/>
        </w:rPr>
        <w:t xml:space="preserve"> </w:t>
      </w:r>
      <w:r>
        <w:rPr>
          <w:rFonts w:hint="eastAsia" w:ascii="Times New Roman" w:hAnsi="Times New Roman"/>
          <w:sz w:val="20"/>
          <w:szCs w:val="20"/>
          <w:lang w:val="en-US" w:eastAsia="zh-CN"/>
        </w:rPr>
        <w:t>issue</w:t>
      </w:r>
      <w:r>
        <w:rPr>
          <w:rFonts w:hint="eastAsia"/>
          <w:sz w:val="20"/>
          <w:szCs w:val="20"/>
          <w:lang w:val="en-US" w:eastAsia="zh-CN"/>
        </w:rPr>
        <w:t>s</w:t>
      </w:r>
      <w:r>
        <w:rPr>
          <w:rFonts w:ascii="Times New Roman" w:hAnsi="Times New Roman"/>
          <w:sz w:val="20"/>
          <w:szCs w:val="20"/>
        </w:rPr>
        <w:t>.</w:t>
      </w:r>
    </w:p>
    <w:p w14:paraId="223749D8">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p>
    <w:p w14:paraId="56A5A4E2">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b/>
          <w:bCs/>
          <w:sz w:val="20"/>
          <w:szCs w:val="20"/>
          <w:lang w:val="en-US" w:eastAsia="zh-CN"/>
        </w:rPr>
      </w:pPr>
      <w:r>
        <w:rPr>
          <w:rFonts w:hint="eastAsia"/>
          <w:b/>
          <w:bCs/>
          <w:sz w:val="20"/>
          <w:szCs w:val="20"/>
          <w:lang w:val="en-US" w:eastAsia="zh-CN"/>
        </w:rPr>
        <w:t>2.1 RAN1 LS</w:t>
      </w:r>
    </w:p>
    <w:p w14:paraId="526F105F">
      <w:pPr>
        <w:spacing w:after="180" w:line="240" w:lineRule="exact"/>
        <w:rPr>
          <w:rFonts w:hint="eastAsia"/>
          <w:sz w:val="20"/>
          <w:szCs w:val="20"/>
          <w:lang w:val="en-US" w:eastAsia="zh-CN"/>
        </w:rPr>
      </w:pPr>
      <w:r>
        <w:rPr>
          <w:rFonts w:hint="eastAsia"/>
          <w:sz w:val="20"/>
          <w:szCs w:val="20"/>
          <w:lang w:val="en-US" w:eastAsia="zh-CN"/>
        </w:rPr>
        <w:t>RAN1 sent LS to RAN4 on whether/how to handle the collision between an SSB and a valid RO [2].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DD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BB4AF0">
            <w:pPr>
              <w:spacing w:after="180" w:line="240" w:lineRule="exac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RAN1 LS on collision between SSB and RA occasion for LTM (</w:t>
            </w:r>
            <w:r>
              <w:rPr>
                <w:rFonts w:hint="default" w:ascii="Times New Roman" w:hAnsi="Times New Roman" w:eastAsia="宋体" w:cs="Times New Roman"/>
                <w:b w:val="0"/>
                <w:sz w:val="20"/>
                <w:szCs w:val="20"/>
                <w:lang w:val="en-US" w:eastAsia="zh-CN"/>
              </w:rPr>
              <w:t>R4-2500008</w:t>
            </w:r>
            <w:r>
              <w:rPr>
                <w:rFonts w:hint="default" w:ascii="Times New Roman" w:hAnsi="Times New Roman" w:cs="Times New Roman"/>
                <w:sz w:val="20"/>
                <w:szCs w:val="20"/>
                <w:vertAlign w:val="baseline"/>
                <w:lang w:val="en-US" w:eastAsia="zh-CN"/>
              </w:rPr>
              <w:t>)</w:t>
            </w:r>
          </w:p>
          <w:p w14:paraId="411F6155">
            <w:pPr>
              <w:rPr>
                <w:rFonts w:hint="default" w:ascii="Times New Roman" w:hAnsi="Times New Roman" w:cs="Times New Roman"/>
                <w:b/>
                <w:bCs/>
                <w:sz w:val="20"/>
                <w:szCs w:val="20"/>
              </w:rPr>
            </w:pPr>
            <w:r>
              <w:rPr>
                <w:rFonts w:hint="default" w:ascii="Times New Roman" w:hAnsi="Times New Roman" w:cs="Times New Roman"/>
                <w:b/>
                <w:bCs/>
                <w:sz w:val="20"/>
                <w:szCs w:val="20"/>
              </w:rPr>
              <w:t>1. Overall Description:</w:t>
            </w:r>
          </w:p>
          <w:p w14:paraId="6BE5E387">
            <w:pPr>
              <w:rPr>
                <w:rFonts w:hint="default" w:ascii="Times New Roman" w:hAnsi="Times New Roman" w:cs="Times New Roman"/>
                <w:bCs/>
                <w:sz w:val="20"/>
                <w:szCs w:val="20"/>
                <w:lang w:val="en-US" w:eastAsia="zh-TW"/>
              </w:rPr>
            </w:pPr>
            <w:r>
              <w:rPr>
                <w:rFonts w:hint="default" w:ascii="Times New Roman" w:hAnsi="Times New Roman" w:cs="Times New Roman"/>
                <w:bCs/>
                <w:sz w:val="20"/>
                <w:szCs w:val="20"/>
              </w:rPr>
              <w:t xml:space="preserve">On R18 LTM, for unpaired spectrum, RAN1 identified possible collision between valid RA occasion (RO) and SSB associated with different cells in time domain, which is due to that RO validation is performed per cell. The collision could happen when the different cells are in the same frequency band or in different frequency band. It is unclear to RAN1 on whether/how to handle the collision between an SSB and a valid RO associated with different cells. </w:t>
            </w:r>
          </w:p>
          <w:p w14:paraId="776E717E">
            <w:pPr>
              <w:rPr>
                <w:rFonts w:hint="default" w:ascii="Times New Roman" w:hAnsi="Times New Roman" w:cs="Times New Roman"/>
                <w:sz w:val="20"/>
                <w:szCs w:val="20"/>
                <w:lang w:val="en-US" w:eastAsia="zh-CN"/>
              </w:rPr>
            </w:pPr>
          </w:p>
          <w:p w14:paraId="5049511C">
            <w:pPr>
              <w:spacing w:before="120" w:after="120"/>
              <w:rPr>
                <w:rFonts w:hint="default" w:ascii="Times New Roman" w:hAnsi="Times New Roman" w:cs="Times New Roman"/>
                <w:b/>
                <w:bCs/>
                <w:sz w:val="20"/>
                <w:szCs w:val="20"/>
              </w:rPr>
            </w:pPr>
            <w:r>
              <w:rPr>
                <w:rFonts w:hint="default" w:ascii="Times New Roman" w:hAnsi="Times New Roman" w:cs="Times New Roman"/>
                <w:b/>
                <w:bCs/>
                <w:sz w:val="20"/>
                <w:szCs w:val="20"/>
              </w:rPr>
              <w:t>2. Actions:</w:t>
            </w:r>
          </w:p>
          <w:p w14:paraId="27B97D36">
            <w:pPr>
              <w:spacing w:before="120" w:after="120"/>
              <w:rPr>
                <w:rFonts w:hint="default" w:ascii="Times New Roman" w:hAnsi="Times New Roman" w:cs="Times New Roman"/>
                <w:b/>
                <w:bCs/>
                <w:sz w:val="20"/>
                <w:szCs w:val="20"/>
              </w:rPr>
            </w:pPr>
            <w:r>
              <w:rPr>
                <w:rFonts w:hint="default" w:ascii="Times New Roman" w:hAnsi="Times New Roman" w:cs="Times New Roman"/>
                <w:b/>
                <w:bCs/>
                <w:sz w:val="20"/>
                <w:szCs w:val="20"/>
              </w:rPr>
              <w:t>To RAN4:</w:t>
            </w:r>
          </w:p>
          <w:p w14:paraId="326BBC62">
            <w:pPr>
              <w:rPr>
                <w:rFonts w:hint="default" w:ascii="Times New Roman" w:hAnsi="Times New Roman" w:cs="Times New Roman"/>
                <w:bCs/>
                <w:sz w:val="20"/>
                <w:szCs w:val="20"/>
              </w:rPr>
            </w:pPr>
            <w:r>
              <w:rPr>
                <w:rFonts w:hint="default" w:ascii="Times New Roman" w:hAnsi="Times New Roman" w:cs="Times New Roman"/>
                <w:bCs/>
                <w:sz w:val="20"/>
                <w:szCs w:val="20"/>
              </w:rPr>
              <w:t>RAN1 respectfully asks RAN4 on whether/how to handle the collision between an SSB and a valid RO as described above and to provide answer for it.</w:t>
            </w:r>
          </w:p>
          <w:p w14:paraId="6A6856CD">
            <w:pPr>
              <w:spacing w:after="180" w:line="240" w:lineRule="exact"/>
              <w:rPr>
                <w:rFonts w:hint="default" w:ascii="Times New Roman" w:hAnsi="Times New Roman" w:cs="Times New Roman"/>
                <w:sz w:val="20"/>
                <w:szCs w:val="20"/>
                <w:vertAlign w:val="baseline"/>
                <w:lang w:val="en-US" w:eastAsia="zh-CN"/>
              </w:rPr>
            </w:pPr>
          </w:p>
        </w:tc>
      </w:tr>
    </w:tbl>
    <w:p w14:paraId="16C90857">
      <w:pPr>
        <w:spacing w:after="180" w:line="240" w:lineRule="exact"/>
        <w:rPr>
          <w:rFonts w:hint="default"/>
          <w:sz w:val="20"/>
          <w:szCs w:val="20"/>
          <w:lang w:val="en-US" w:eastAsia="zh-CN"/>
        </w:rPr>
      </w:pPr>
    </w:p>
    <w:p w14:paraId="44AAC475">
      <w:pPr>
        <w:spacing w:after="180" w:line="240" w:lineRule="exact"/>
        <w:rPr>
          <w:rFonts w:hint="eastAsia"/>
          <w:sz w:val="20"/>
          <w:szCs w:val="20"/>
          <w:lang w:val="en-US" w:eastAsia="zh-CN"/>
        </w:rPr>
      </w:pPr>
      <w:r>
        <w:rPr>
          <w:rFonts w:hint="eastAsia"/>
          <w:sz w:val="20"/>
          <w:szCs w:val="20"/>
          <w:lang w:val="en-US" w:eastAsia="zh-CN"/>
        </w:rPr>
        <w:t xml:space="preserve">Since RO validation for a cell does not consider SSBs from different cells, it is possible that there is collision between SSB and PRACH associated with different cells. </w:t>
      </w:r>
    </w:p>
    <w:p w14:paraId="1DF00BED">
      <w:pPr>
        <w:spacing w:after="180" w:line="240" w:lineRule="exact"/>
        <w:rPr>
          <w:rFonts w:hint="default"/>
          <w:sz w:val="20"/>
          <w:szCs w:val="20"/>
          <w:lang w:val="en-US" w:eastAsia="zh-CN"/>
        </w:rPr>
      </w:pPr>
      <w:r>
        <w:rPr>
          <w:rFonts w:hint="eastAsia"/>
          <w:sz w:val="20"/>
          <w:szCs w:val="20"/>
          <w:lang w:val="en-US" w:eastAsia="zh-CN"/>
        </w:rPr>
        <w:t>One way is to leave this to UE implementation, i.e. whether to transmit the PRACH or receive SSB is up to UE implementation. Another way is to clarify UE behaviour, make it clear either UE will transmit the PRACH or UE will receive SSB when there is collision. We slightly prefer the latter way.</w:t>
      </w:r>
    </w:p>
    <w:p w14:paraId="19667315">
      <w:pPr>
        <w:spacing w:after="180" w:line="240" w:lineRule="exact"/>
        <w:rPr>
          <w:rFonts w:hint="eastAsia"/>
          <w:sz w:val="20"/>
          <w:szCs w:val="20"/>
          <w:lang w:val="en-US" w:eastAsia="zh-CN"/>
        </w:rPr>
      </w:pPr>
      <w:r>
        <w:rPr>
          <w:rFonts w:hint="eastAsia"/>
          <w:sz w:val="20"/>
          <w:szCs w:val="20"/>
          <w:lang w:val="en-US" w:eastAsia="zh-CN"/>
        </w:rPr>
        <w:t>This issue is similar as the collision between UL transmission and DL measurement. Taking scheduling availability of UE performing measurements in TDD bands on FR1 as an example, the details are duplicated as following. It can be seen that UE is not expected to transmit PUCCH/PUSCH/SRS if they are colliding with SSB, while PRACH is not covered. Our interpretention is that PRACH is prioritized if there is collision between PRACH and SSB. And PRACH is for UL synchronization, which is very important.</w:t>
      </w:r>
    </w:p>
    <w:p w14:paraId="655AAE24">
      <w:pPr>
        <w:spacing w:after="180" w:line="240" w:lineRule="exact"/>
        <w:rPr>
          <w:rFonts w:hint="default"/>
          <w:sz w:val="20"/>
          <w:szCs w:val="20"/>
          <w:lang w:val="en-US" w:eastAsia="zh-CN"/>
        </w:rPr>
      </w:pPr>
      <w:r>
        <w:rPr>
          <w:rFonts w:hint="eastAsia"/>
          <w:sz w:val="20"/>
          <w:szCs w:val="20"/>
          <w:lang w:val="en-US" w:eastAsia="zh-CN"/>
        </w:rPr>
        <w:t>Based on above consideration, for the collision between SSB and RO, it is proposed that UE transmit PRACH.</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8E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07AB2E">
            <w:pPr>
              <w:bidi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Scheduling availability of UE performing measurements in TDD bands on FR1</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9.2.5.3.1</w:t>
            </w:r>
            <w:r>
              <w:rPr>
                <w:rFonts w:hint="default" w:ascii="Times New Roman" w:hAnsi="Times New Roman" w:cs="Times New Roman"/>
                <w:b/>
                <w:bCs/>
                <w:sz w:val="20"/>
                <w:szCs w:val="20"/>
                <w:lang w:val="en-US" w:eastAsia="zh-CN"/>
              </w:rPr>
              <w:t>, TS38.133)</w:t>
            </w:r>
          </w:p>
          <w:p w14:paraId="04690A55">
            <w:pPr>
              <w:bidi w:val="0"/>
              <w:rPr>
                <w:rFonts w:hint="default" w:ascii="Times New Roman" w:hAnsi="Times New Roman" w:cs="Times New Roman"/>
                <w:sz w:val="20"/>
                <w:szCs w:val="20"/>
                <w:lang w:val="en-US" w:eastAsia="zh-CN"/>
              </w:rPr>
            </w:pPr>
          </w:p>
          <w:p w14:paraId="0947E857">
            <w:pPr>
              <w:rPr>
                <w:rFonts w:hint="default" w:ascii="Times New Roman" w:hAnsi="Times New Roman" w:cs="Times New Roman"/>
                <w:sz w:val="20"/>
                <w:szCs w:val="20"/>
              </w:rPr>
            </w:pPr>
            <w:r>
              <w:rPr>
                <w:rFonts w:hint="default" w:ascii="Times New Roman" w:hAnsi="Times New Roman" w:cs="Times New Roman"/>
                <w:sz w:val="20"/>
                <w:szCs w:val="20"/>
              </w:rPr>
              <w:t xml:space="preserve">When the UE performs intra-frequency measurements in a TDD band, the following restrictions apply due to SS-RSRP or SS-SINR measurement </w:t>
            </w:r>
          </w:p>
          <w:p w14:paraId="1194C7DE">
            <w:pPr>
              <w:pStyle w:val="1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UE is not expected to transmit PUCCH/PUSCH/SRS on SSB symbols to be measured, and on 1 data symbol before each consecutive SSB symbols </w:t>
            </w:r>
            <w:r>
              <w:rPr>
                <w:rFonts w:hint="default" w:ascii="Times New Roman" w:hAnsi="Times New Roman" w:cs="Times New Roman"/>
                <w:sz w:val="20"/>
                <w:szCs w:val="20"/>
                <w:lang w:eastAsia="zh-CN"/>
              </w:rPr>
              <w:t xml:space="preserve">to be measured </w:t>
            </w:r>
            <w:r>
              <w:rPr>
                <w:rFonts w:hint="default" w:ascii="Times New Roman" w:hAnsi="Times New Roman" w:cs="Times New Roman"/>
                <w:sz w:val="20"/>
                <w:szCs w:val="20"/>
              </w:rPr>
              <w:t xml:space="preserve">and 1 data symbol after each consecutive SSB symbols </w:t>
            </w:r>
            <w:r>
              <w:rPr>
                <w:rFonts w:hint="default" w:ascii="Times New Roman" w:hAnsi="Times New Roman" w:cs="Times New Roman"/>
                <w:sz w:val="20"/>
                <w:szCs w:val="20"/>
                <w:lang w:eastAsia="zh-CN"/>
              </w:rPr>
              <w:t xml:space="preserve">to be measured </w:t>
            </w:r>
            <w:r>
              <w:rPr>
                <w:rFonts w:hint="default" w:ascii="Times New Roman" w:hAnsi="Times New Roman" w:cs="Times New Roman"/>
                <w:sz w:val="20"/>
                <w:szCs w:val="20"/>
              </w:rPr>
              <w:t xml:space="preserve">within SMTC window duration. If the high layer in TS 38.331 [2] signalling of </w:t>
            </w:r>
            <w:r>
              <w:rPr>
                <w:rFonts w:hint="default" w:ascii="Times New Roman" w:hAnsi="Times New Roman" w:cs="Times New Roman"/>
                <w:i/>
                <w:sz w:val="20"/>
                <w:szCs w:val="20"/>
              </w:rPr>
              <w:t>smtc2</w:t>
            </w:r>
            <w:r>
              <w:rPr>
                <w:rFonts w:hint="default" w:ascii="Times New Roman" w:hAnsi="Times New Roman" w:cs="Times New Roman"/>
                <w:b/>
                <w:sz w:val="20"/>
                <w:szCs w:val="20"/>
              </w:rPr>
              <w:t xml:space="preserve"> </w:t>
            </w:r>
            <w:r>
              <w:rPr>
                <w:rFonts w:hint="default" w:ascii="Times New Roman" w:hAnsi="Times New Roman" w:cs="Times New Roman"/>
                <w:sz w:val="20"/>
                <w:szCs w:val="20"/>
              </w:rPr>
              <w:t>is configured, the SMTC periodicity</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 xml:space="preserve">follows </w:t>
            </w:r>
            <w:r>
              <w:rPr>
                <w:rFonts w:hint="default" w:ascii="Times New Roman" w:hAnsi="Times New Roman" w:cs="Times New Roman"/>
                <w:i/>
                <w:sz w:val="20"/>
                <w:szCs w:val="20"/>
              </w:rPr>
              <w:t>smtc2</w:t>
            </w:r>
            <w:r>
              <w:rPr>
                <w:rFonts w:hint="default" w:ascii="Times New Roman" w:hAnsi="Times New Roman" w:cs="Times New Roman"/>
                <w:sz w:val="20"/>
                <w:szCs w:val="20"/>
              </w:rPr>
              <w:t xml:space="preserve">; Otherwise SMTC periodicity follows </w:t>
            </w:r>
            <w:r>
              <w:rPr>
                <w:rFonts w:hint="default" w:ascii="Times New Roman" w:hAnsi="Times New Roman" w:cs="Times New Roman"/>
                <w:i/>
                <w:sz w:val="20"/>
                <w:szCs w:val="20"/>
              </w:rPr>
              <w:t>smtc1.</w:t>
            </w:r>
          </w:p>
          <w:p w14:paraId="3763CD7A">
            <w:pPr>
              <w:rPr>
                <w:rFonts w:hint="default" w:ascii="Times New Roman" w:hAnsi="Times New Roman" w:cs="Times New Roman"/>
                <w:sz w:val="20"/>
                <w:szCs w:val="20"/>
              </w:rPr>
            </w:pPr>
            <w:r>
              <w:rPr>
                <w:rFonts w:hint="default" w:ascii="Times New Roman" w:hAnsi="Times New Roman" w:cs="Times New Roman"/>
                <w:sz w:val="20"/>
                <w:szCs w:val="20"/>
              </w:rPr>
              <w:t xml:space="preserve">When the UE performs intra-frequency measurements in a TDD band, the following restrictions apply due to SS-RSRQ measurement </w:t>
            </w:r>
          </w:p>
          <w:p w14:paraId="10A48EBA">
            <w:pPr>
              <w:pStyle w:val="1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rFonts w:hint="default" w:ascii="Times New Roman" w:hAnsi="Times New Roman" w:cs="Times New Roman"/>
                <w:i/>
                <w:sz w:val="20"/>
                <w:szCs w:val="20"/>
              </w:rPr>
              <w:t>smtc2</w:t>
            </w:r>
            <w:r>
              <w:rPr>
                <w:rFonts w:hint="default" w:ascii="Times New Roman" w:hAnsi="Times New Roman" w:cs="Times New Roman"/>
                <w:b/>
                <w:sz w:val="20"/>
                <w:szCs w:val="20"/>
              </w:rPr>
              <w:t xml:space="preserve"> </w:t>
            </w:r>
            <w:r>
              <w:rPr>
                <w:rFonts w:hint="default" w:ascii="Times New Roman" w:hAnsi="Times New Roman" w:cs="Times New Roman"/>
                <w:sz w:val="20"/>
                <w:szCs w:val="20"/>
              </w:rPr>
              <w:t>is configured in TS 38.331 [2], the SMTC periodicity</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 xml:space="preserve">follows </w:t>
            </w:r>
            <w:r>
              <w:rPr>
                <w:rFonts w:hint="default" w:ascii="Times New Roman" w:hAnsi="Times New Roman" w:cs="Times New Roman"/>
                <w:i/>
                <w:sz w:val="20"/>
                <w:szCs w:val="20"/>
              </w:rPr>
              <w:t>smtc2</w:t>
            </w:r>
            <w:r>
              <w:rPr>
                <w:rFonts w:hint="default" w:ascii="Times New Roman" w:hAnsi="Times New Roman" w:cs="Times New Roman"/>
                <w:sz w:val="20"/>
                <w:szCs w:val="20"/>
              </w:rPr>
              <w:t xml:space="preserve">; Otherwise the SMTC periodicity follows </w:t>
            </w:r>
            <w:r>
              <w:rPr>
                <w:rFonts w:hint="default" w:ascii="Times New Roman" w:hAnsi="Times New Roman" w:cs="Times New Roman"/>
                <w:i/>
                <w:sz w:val="20"/>
                <w:szCs w:val="20"/>
              </w:rPr>
              <w:t>smtc1.</w:t>
            </w:r>
          </w:p>
          <w:p w14:paraId="78067F63">
            <w:pPr>
              <w:rPr>
                <w:rFonts w:hint="default" w:ascii="Times New Roman" w:hAnsi="Times New Roman" w:cs="Times New Roman"/>
                <w:sz w:val="20"/>
                <w:szCs w:val="20"/>
              </w:rPr>
            </w:pPr>
            <w:r>
              <w:rPr>
                <w:rFonts w:hint="default" w:ascii="Times New Roman" w:hAnsi="Times New Roman" w:cs="Times New Roman"/>
                <w:sz w:val="20"/>
                <w:szCs w:val="20"/>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33C69C15">
            <w:pPr>
              <w:spacing w:after="180" w:line="240" w:lineRule="exact"/>
              <w:rPr>
                <w:rFonts w:hint="eastAsia"/>
                <w:sz w:val="20"/>
                <w:szCs w:val="20"/>
                <w:vertAlign w:val="baseline"/>
                <w:lang w:val="en-US" w:eastAsia="zh-CN"/>
              </w:rPr>
            </w:pPr>
          </w:p>
        </w:tc>
      </w:tr>
    </w:tbl>
    <w:p w14:paraId="120B1591">
      <w:pPr>
        <w:spacing w:after="180" w:line="240" w:lineRule="exact"/>
        <w:rPr>
          <w:rFonts w:hint="eastAsia"/>
          <w:sz w:val="20"/>
          <w:szCs w:val="20"/>
          <w:lang w:val="en-US" w:eastAsia="zh-CN"/>
        </w:rPr>
      </w:pPr>
    </w:p>
    <w:p w14:paraId="197A2A9E">
      <w:pPr>
        <w:spacing w:after="180" w:line="240" w:lineRule="exact"/>
        <w:rPr>
          <w:rFonts w:hint="default"/>
          <w:sz w:val="20"/>
          <w:szCs w:val="20"/>
          <w:lang w:val="en-US" w:eastAsia="zh-CN"/>
        </w:rPr>
      </w:pPr>
    </w:p>
    <w:p w14:paraId="317C4E80">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for the collision between SSB and RO, it is proposed to prioritize PRACH tramsmission</w:t>
      </w:r>
      <w:r>
        <w:rPr>
          <w:rFonts w:hint="eastAsia" w:ascii="Times New Roman" w:hAnsi="Times New Roman"/>
          <w:b/>
          <w:bCs/>
          <w:i/>
          <w:iCs/>
          <w:sz w:val="20"/>
          <w:szCs w:val="20"/>
          <w:lang w:val="en-US" w:eastAsia="zh-CN"/>
        </w:rPr>
        <w:t>.</w:t>
      </w:r>
    </w:p>
    <w:p w14:paraId="1A7C8679">
      <w:pPr>
        <w:spacing w:after="180" w:line="240" w:lineRule="exact"/>
        <w:rPr>
          <w:rFonts w:hint="eastAsia"/>
          <w:sz w:val="20"/>
          <w:szCs w:val="20"/>
          <w:lang w:val="en-US" w:eastAsia="zh-CN"/>
        </w:rPr>
      </w:pPr>
    </w:p>
    <w:p w14:paraId="6291B275">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b/>
          <w:bCs/>
          <w:sz w:val="20"/>
          <w:szCs w:val="20"/>
          <w:lang w:val="en-US" w:eastAsia="zh-CN"/>
        </w:rPr>
      </w:pPr>
      <w:r>
        <w:rPr>
          <w:rFonts w:hint="eastAsia"/>
          <w:b/>
          <w:bCs/>
          <w:sz w:val="20"/>
          <w:szCs w:val="20"/>
          <w:lang w:val="en-US" w:eastAsia="zh-CN"/>
        </w:rPr>
        <w:t>2.2 UE feature</w:t>
      </w:r>
    </w:p>
    <w:tbl>
      <w:tblPr>
        <w:tblStyle w:val="9"/>
        <w:tblW w:w="9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1"/>
        <w:gridCol w:w="6238"/>
      </w:tblGrid>
      <w:tr w14:paraId="0A0F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50" w:type="dxa"/>
            <w:shd w:val="clear" w:color="auto" w:fill="auto"/>
            <w:vAlign w:val="center"/>
          </w:tcPr>
          <w:p w14:paraId="59937AA7">
            <w:pPr>
              <w:spacing w:after="120"/>
              <w:contextualSpacing/>
              <w:jc w:val="both"/>
              <w:rPr>
                <w:rFonts w:hint="default" w:ascii="Times New Roman" w:hAnsi="Times New Roman" w:cs="Times New Roman"/>
                <w:b/>
                <w:bCs/>
                <w:color w:val="0070C0"/>
                <w:sz w:val="20"/>
                <w:szCs w:val="20"/>
              </w:rPr>
            </w:pPr>
            <w:r>
              <w:rPr>
                <w:rFonts w:hint="default" w:ascii="Times New Roman" w:hAnsi="Times New Roman" w:cs="Times New Roman"/>
                <w:b/>
                <w:bCs/>
                <w:color w:val="0070C0"/>
                <w:sz w:val="20"/>
                <w:szCs w:val="20"/>
              </w:rPr>
              <w:t>Index</w:t>
            </w:r>
          </w:p>
        </w:tc>
        <w:tc>
          <w:tcPr>
            <w:tcW w:w="2261" w:type="dxa"/>
            <w:shd w:val="clear" w:color="auto" w:fill="auto"/>
            <w:vAlign w:val="center"/>
          </w:tcPr>
          <w:p w14:paraId="09D52E04">
            <w:pPr>
              <w:spacing w:after="120"/>
              <w:contextualSpacing/>
              <w:jc w:val="both"/>
              <w:rPr>
                <w:rFonts w:hint="default" w:ascii="Times New Roman" w:hAnsi="Times New Roman" w:cs="Times New Roman"/>
                <w:b/>
                <w:bCs/>
                <w:color w:val="0070C0"/>
                <w:sz w:val="20"/>
                <w:szCs w:val="20"/>
              </w:rPr>
            </w:pPr>
            <w:r>
              <w:rPr>
                <w:rFonts w:hint="default" w:ascii="Times New Roman" w:hAnsi="Times New Roman" w:cs="Times New Roman"/>
                <w:b/>
                <w:bCs/>
                <w:color w:val="0070C0"/>
                <w:sz w:val="20"/>
                <w:szCs w:val="20"/>
              </w:rPr>
              <w:t>Feature group</w:t>
            </w:r>
          </w:p>
        </w:tc>
        <w:tc>
          <w:tcPr>
            <w:tcW w:w="6238" w:type="dxa"/>
            <w:shd w:val="clear" w:color="auto" w:fill="auto"/>
            <w:vAlign w:val="center"/>
          </w:tcPr>
          <w:p w14:paraId="5252FEA8">
            <w:pPr>
              <w:spacing w:after="120"/>
              <w:contextualSpacing/>
              <w:jc w:val="both"/>
              <w:rPr>
                <w:rFonts w:hint="default" w:ascii="Times New Roman" w:hAnsi="Times New Roman" w:cs="Times New Roman"/>
                <w:b/>
                <w:bCs/>
                <w:color w:val="0070C0"/>
                <w:sz w:val="20"/>
                <w:szCs w:val="20"/>
              </w:rPr>
            </w:pPr>
            <w:r>
              <w:rPr>
                <w:rFonts w:hint="default" w:ascii="Times New Roman" w:hAnsi="Times New Roman" w:cs="Times New Roman"/>
                <w:b/>
                <w:bCs/>
                <w:color w:val="0070C0"/>
                <w:sz w:val="20"/>
                <w:szCs w:val="20"/>
              </w:rPr>
              <w:t>Components </w:t>
            </w:r>
          </w:p>
        </w:tc>
      </w:tr>
      <w:tr w14:paraId="286E6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50" w:type="dxa"/>
            <w:shd w:val="clear" w:color="auto" w:fill="auto"/>
          </w:tcPr>
          <w:p w14:paraId="52FDC705">
            <w:pPr>
              <w:keepNext/>
              <w:keepLines/>
              <w:overflowPunct w:val="0"/>
              <w:autoSpaceDE w:val="0"/>
              <w:autoSpaceDN w:val="0"/>
              <w:adjustRightInd w:val="0"/>
              <w:textAlignment w:val="baseline"/>
              <w:rPr>
                <w:rFonts w:hint="default" w:ascii="Times New Roman" w:hAnsi="Times New Roman" w:cs="Times New Roman" w:eastAsiaTheme="minorEastAsia"/>
                <w:bCs/>
                <w:color w:val="0070C0"/>
                <w:sz w:val="20"/>
                <w:szCs w:val="20"/>
                <w:highlight w:val="none"/>
              </w:rPr>
            </w:pPr>
            <w:r>
              <w:rPr>
                <w:rFonts w:hint="default" w:ascii="Times New Roman" w:hAnsi="Times New Roman" w:cs="Times New Roman"/>
                <w:bCs/>
                <w:color w:val="0070C0"/>
                <w:sz w:val="20"/>
                <w:szCs w:val="20"/>
                <w:highlight w:val="none"/>
              </w:rPr>
              <w:t>39-3-3</w:t>
            </w:r>
          </w:p>
        </w:tc>
        <w:tc>
          <w:tcPr>
            <w:tcW w:w="2261" w:type="dxa"/>
            <w:shd w:val="clear" w:color="auto" w:fill="auto"/>
          </w:tcPr>
          <w:p w14:paraId="6CC8F5BD">
            <w:pPr>
              <w:keepNext/>
              <w:keepLines/>
              <w:overflowPunct w:val="0"/>
              <w:autoSpaceDE w:val="0"/>
              <w:autoSpaceDN w:val="0"/>
              <w:adjustRightInd w:val="0"/>
              <w:textAlignment w:val="baseline"/>
              <w:rPr>
                <w:rFonts w:hint="default" w:ascii="Times New Roman" w:hAnsi="Times New Roman" w:cs="Times New Roman"/>
                <w:bCs/>
                <w:color w:val="0070C0"/>
                <w:sz w:val="20"/>
                <w:szCs w:val="20"/>
                <w:highlight w:val="none"/>
              </w:rPr>
            </w:pPr>
            <w:r>
              <w:rPr>
                <w:rFonts w:hint="default" w:ascii="Times New Roman" w:hAnsi="Times New Roman" w:cs="Times New Roman"/>
                <w:bCs/>
                <w:color w:val="0070C0"/>
                <w:sz w:val="20"/>
                <w:szCs w:val="20"/>
                <w:highlight w:val="none"/>
              </w:rPr>
              <w:t>Number of total cells to be measured</w:t>
            </w:r>
          </w:p>
        </w:tc>
        <w:tc>
          <w:tcPr>
            <w:tcW w:w="6238" w:type="dxa"/>
            <w:shd w:val="clear" w:color="auto" w:fill="auto"/>
          </w:tcPr>
          <w:p w14:paraId="74883537">
            <w:pPr>
              <w:keepNext/>
              <w:keepLines/>
              <w:overflowPunct w:val="0"/>
              <w:autoSpaceDE w:val="0"/>
              <w:autoSpaceDN w:val="0"/>
              <w:adjustRightInd w:val="0"/>
              <w:textAlignment w:val="baseline"/>
              <w:rPr>
                <w:rFonts w:hint="default" w:ascii="Times New Roman" w:hAnsi="Times New Roman" w:cs="Times New Roman"/>
                <w:bCs/>
                <w:color w:val="0070C0"/>
                <w:sz w:val="20"/>
                <w:szCs w:val="20"/>
                <w:highlight w:val="none"/>
              </w:rPr>
            </w:pPr>
            <w:r>
              <w:rPr>
                <w:rFonts w:hint="default" w:ascii="Times New Roman" w:hAnsi="Times New Roman" w:cs="Times New Roman"/>
                <w:bCs/>
                <w:color w:val="0070C0"/>
                <w:sz w:val="20"/>
                <w:szCs w:val="20"/>
                <w:highlight w:val="none"/>
              </w:rPr>
              <w:t>The max number of total cells of serving cells and neighboring cells across all frequency layers of intra-frequency and inter-frequency without measurement gaps for L1 measurement.</w:t>
            </w:r>
          </w:p>
        </w:tc>
      </w:tr>
      <w:tr w14:paraId="01AA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50" w:type="dxa"/>
            <w:shd w:val="clear" w:color="auto" w:fill="auto"/>
          </w:tcPr>
          <w:p w14:paraId="71F8967F">
            <w:pPr>
              <w:keepNext/>
              <w:keepLines/>
              <w:overflowPunct w:val="0"/>
              <w:autoSpaceDE w:val="0"/>
              <w:autoSpaceDN w:val="0"/>
              <w:adjustRightInd w:val="0"/>
              <w:textAlignment w:val="baseline"/>
              <w:rPr>
                <w:rFonts w:hint="default" w:ascii="Times New Roman" w:hAnsi="Times New Roman" w:cs="Times New Roman" w:eastAsiaTheme="minorEastAsia"/>
                <w:bCs/>
                <w:color w:val="0070C0"/>
                <w:sz w:val="20"/>
                <w:szCs w:val="20"/>
                <w:highlight w:val="none"/>
              </w:rPr>
            </w:pPr>
            <w:r>
              <w:rPr>
                <w:rFonts w:hint="default" w:ascii="Times New Roman" w:hAnsi="Times New Roman" w:cs="Times New Roman"/>
                <w:bCs/>
                <w:color w:val="0070C0"/>
                <w:sz w:val="20"/>
                <w:szCs w:val="20"/>
                <w:highlight w:val="none"/>
              </w:rPr>
              <w:t>39-3-5</w:t>
            </w:r>
          </w:p>
        </w:tc>
        <w:tc>
          <w:tcPr>
            <w:tcW w:w="2261" w:type="dxa"/>
            <w:shd w:val="clear" w:color="auto" w:fill="auto"/>
          </w:tcPr>
          <w:p w14:paraId="68B27D7F">
            <w:pPr>
              <w:keepNext/>
              <w:keepLines/>
              <w:overflowPunct w:val="0"/>
              <w:autoSpaceDE w:val="0"/>
              <w:autoSpaceDN w:val="0"/>
              <w:adjustRightInd w:val="0"/>
              <w:textAlignment w:val="baseline"/>
              <w:rPr>
                <w:rFonts w:hint="default" w:ascii="Times New Roman" w:hAnsi="Times New Roman" w:cs="Times New Roman"/>
                <w:bCs/>
                <w:color w:val="0070C0"/>
                <w:sz w:val="20"/>
                <w:szCs w:val="20"/>
                <w:highlight w:val="none"/>
              </w:rPr>
            </w:pPr>
            <w:r>
              <w:rPr>
                <w:rFonts w:hint="default" w:ascii="Times New Roman" w:hAnsi="Times New Roman" w:cs="Times New Roman"/>
                <w:bCs/>
                <w:color w:val="0070C0"/>
                <w:sz w:val="20"/>
                <w:szCs w:val="20"/>
                <w:highlight w:val="none"/>
              </w:rPr>
              <w:t>Number of SSB resources for L1-RSRP measurement per frequency layer</w:t>
            </w:r>
          </w:p>
        </w:tc>
        <w:tc>
          <w:tcPr>
            <w:tcW w:w="6238" w:type="dxa"/>
            <w:shd w:val="clear" w:color="auto" w:fill="auto"/>
          </w:tcPr>
          <w:p w14:paraId="2285589D">
            <w:pPr>
              <w:pStyle w:val="17"/>
              <w:numPr>
                <w:ilvl w:val="0"/>
                <w:numId w:val="3"/>
              </w:numPr>
              <w:overflowPunct/>
              <w:autoSpaceDE/>
              <w:adjustRightInd/>
              <w:spacing w:after="120"/>
              <w:ind w:firstLineChars="0"/>
              <w:contextualSpacing/>
              <w:jc w:val="both"/>
              <w:textAlignment w:val="auto"/>
              <w:rPr>
                <w:rFonts w:hint="default" w:ascii="Times New Roman" w:hAnsi="Times New Roman" w:cs="Times New Roman"/>
                <w:color w:val="0070C0"/>
                <w:sz w:val="20"/>
                <w:szCs w:val="20"/>
                <w:highlight w:val="none"/>
              </w:rPr>
            </w:pPr>
            <w:r>
              <w:rPr>
                <w:rFonts w:hint="default" w:ascii="Times New Roman" w:hAnsi="Times New Roman" w:cs="Times New Roman"/>
                <w:color w:val="0070C0"/>
                <w:sz w:val="20"/>
                <w:szCs w:val="20"/>
                <w:highlight w:val="none"/>
              </w:rPr>
              <w:t xml:space="preserve">The max number of </w:t>
            </w:r>
            <w:r>
              <w:rPr>
                <w:rFonts w:hint="default" w:ascii="Times New Roman" w:hAnsi="Times New Roman" w:cs="Times New Roman"/>
                <w:bCs/>
                <w:color w:val="0070C0"/>
                <w:sz w:val="20"/>
                <w:szCs w:val="20"/>
                <w:highlight w:val="none"/>
              </w:rPr>
              <w:t>SSB resources</w:t>
            </w:r>
            <w:r>
              <w:rPr>
                <w:rFonts w:hint="default" w:ascii="Times New Roman" w:hAnsi="Times New Roman" w:cs="Times New Roman"/>
                <w:color w:val="0070C0"/>
                <w:sz w:val="20"/>
                <w:szCs w:val="20"/>
                <w:highlight w:val="none"/>
              </w:rPr>
              <w:t xml:space="preserve"> UE can measure for L1-RSRP per frequency layer for intra-frequency or inter-frequency without measurement gaps</w:t>
            </w:r>
          </w:p>
          <w:p w14:paraId="70A552F4">
            <w:pPr>
              <w:pStyle w:val="17"/>
              <w:spacing w:after="120"/>
              <w:ind w:left="960" w:firstLine="320"/>
              <w:rPr>
                <w:rFonts w:hint="default" w:ascii="Times New Roman" w:hAnsi="Times New Roman" w:cs="Times New Roman"/>
                <w:color w:val="0070C0"/>
                <w:sz w:val="20"/>
                <w:szCs w:val="20"/>
                <w:highlight w:val="none"/>
              </w:rPr>
            </w:pPr>
          </w:p>
          <w:p w14:paraId="116C4544">
            <w:pPr>
              <w:keepNext/>
              <w:keepLines/>
              <w:overflowPunct w:val="0"/>
              <w:autoSpaceDE w:val="0"/>
              <w:autoSpaceDN w:val="0"/>
              <w:adjustRightInd w:val="0"/>
              <w:textAlignment w:val="baseline"/>
              <w:rPr>
                <w:rFonts w:hint="default" w:ascii="Times New Roman" w:hAnsi="Times New Roman" w:cs="Times New Roman"/>
                <w:bCs/>
                <w:color w:val="0070C0"/>
                <w:sz w:val="20"/>
                <w:szCs w:val="20"/>
                <w:highlight w:val="none"/>
              </w:rPr>
            </w:pPr>
            <w:r>
              <w:rPr>
                <w:rFonts w:hint="default" w:ascii="Times New Roman" w:hAnsi="Times New Roman" w:cs="Times New Roman"/>
                <w:color w:val="0070C0"/>
                <w:sz w:val="20"/>
                <w:szCs w:val="20"/>
                <w:highlight w:val="none"/>
              </w:rPr>
              <w:t xml:space="preserve">2. The max number of </w:t>
            </w:r>
            <w:r>
              <w:rPr>
                <w:rFonts w:hint="default" w:ascii="Times New Roman" w:hAnsi="Times New Roman" w:cs="Times New Roman"/>
                <w:bCs/>
                <w:color w:val="0070C0"/>
                <w:sz w:val="20"/>
                <w:szCs w:val="20"/>
                <w:highlight w:val="none"/>
              </w:rPr>
              <w:t>SSB resources</w:t>
            </w:r>
            <w:r>
              <w:rPr>
                <w:rFonts w:hint="default" w:ascii="Times New Roman" w:hAnsi="Times New Roman" w:cs="Times New Roman"/>
                <w:color w:val="0070C0"/>
                <w:sz w:val="20"/>
                <w:szCs w:val="20"/>
                <w:highlight w:val="none"/>
              </w:rPr>
              <w:t xml:space="preserve"> UE can measure for L1-RSRP per frequency layer for inter-frequency with measurement gaps</w:t>
            </w:r>
          </w:p>
        </w:tc>
      </w:tr>
    </w:tbl>
    <w:p w14:paraId="59F66C50">
      <w:pPr>
        <w:spacing w:after="180" w:line="240" w:lineRule="exact"/>
        <w:rPr>
          <w:rFonts w:hint="eastAsia"/>
          <w:sz w:val="20"/>
          <w:szCs w:val="20"/>
          <w:lang w:val="en-US" w:eastAsia="zh-CN"/>
        </w:rPr>
      </w:pPr>
    </w:p>
    <w:p w14:paraId="5BD20E7F">
      <w:pPr>
        <w:spacing w:after="180" w:line="240" w:lineRule="exact"/>
        <w:rPr>
          <w:rFonts w:hint="eastAsia"/>
          <w:sz w:val="20"/>
          <w:szCs w:val="20"/>
          <w:lang w:val="en-US" w:eastAsia="zh-CN"/>
        </w:rPr>
      </w:pPr>
      <w:r>
        <w:rPr>
          <w:rFonts w:hint="eastAsia"/>
          <w:sz w:val="20"/>
          <w:szCs w:val="20"/>
          <w:lang w:val="en-US" w:eastAsia="zh-CN"/>
        </w:rPr>
        <w:t xml:space="preserve">For 39-3-3, the open issue is that companies has different understanding about the </w:t>
      </w:r>
      <w:r>
        <w:rPr>
          <w:rFonts w:hint="default"/>
          <w:sz w:val="20"/>
          <w:szCs w:val="20"/>
          <w:lang w:val="en-US" w:eastAsia="zh-CN"/>
        </w:rPr>
        <w:t>“total cells of serving cells and neighboring cells”</w:t>
      </w:r>
      <w:r>
        <w:rPr>
          <w:rFonts w:hint="eastAsia"/>
          <w:sz w:val="20"/>
          <w:szCs w:val="20"/>
          <w:lang w:val="en-US" w:eastAsia="zh-CN"/>
        </w:rPr>
        <w:t xml:space="preserve">. </w:t>
      </w:r>
    </w:p>
    <w:p w14:paraId="6FF60836">
      <w:pPr>
        <w:spacing w:after="180" w:line="240" w:lineRule="exact"/>
        <w:rPr>
          <w:rFonts w:hint="default"/>
          <w:sz w:val="20"/>
          <w:szCs w:val="20"/>
          <w:lang w:val="en-US" w:eastAsia="zh-CN"/>
        </w:rPr>
      </w:pPr>
      <w:r>
        <w:rPr>
          <w:rFonts w:hint="default"/>
          <w:sz w:val="20"/>
          <w:szCs w:val="20"/>
          <w:lang w:val="en-US" w:eastAsia="zh-CN"/>
        </w:rPr>
        <w:t xml:space="preserve">Option 1: ‘total cells of serving cells and neighbouring cells’ includes only the LTM candidate cell(s), any of which can be one current serving cell or not. </w:t>
      </w:r>
    </w:p>
    <w:p w14:paraId="1C7A167B">
      <w:pPr>
        <w:spacing w:after="180" w:line="240" w:lineRule="exact"/>
        <w:rPr>
          <w:rFonts w:hint="eastAsia"/>
          <w:sz w:val="20"/>
          <w:szCs w:val="20"/>
          <w:lang w:val="en-US" w:eastAsia="zh-CN"/>
        </w:rPr>
      </w:pPr>
      <w:r>
        <w:rPr>
          <w:rFonts w:hint="default"/>
          <w:sz w:val="20"/>
          <w:szCs w:val="20"/>
          <w:lang w:val="en-US" w:eastAsia="zh-CN"/>
        </w:rPr>
        <w:t xml:space="preserve">Option 2: ‘total cells of serving cells and neighbouring cells’ includes both LTM candidate cell(s) and all serving cells, including the serving cells that are not configured with LTM L1 measurements, i.e. cells with SSB resources configured by CSI-MeasConfig are also counted. </w:t>
      </w:r>
    </w:p>
    <w:p w14:paraId="44DDF471">
      <w:pPr>
        <w:spacing w:after="180" w:line="240" w:lineRule="exact"/>
        <w:rPr>
          <w:rFonts w:hint="default"/>
          <w:sz w:val="20"/>
          <w:szCs w:val="20"/>
          <w:lang w:val="en-US" w:eastAsia="zh-CN"/>
        </w:rPr>
      </w:pPr>
      <w:r>
        <w:rPr>
          <w:rFonts w:hint="eastAsia"/>
          <w:sz w:val="20"/>
          <w:szCs w:val="20"/>
          <w:lang w:val="en-US" w:eastAsia="zh-CN"/>
        </w:rPr>
        <w:t>We prefer option 1. FG 39-3-3 supportedMaxCellsWithoutGapsL1-Meas-r18 is introduced for LTM, only the LTM candidate cell(s) are considered.</w:t>
      </w:r>
    </w:p>
    <w:p w14:paraId="3927A8B9">
      <w:pPr>
        <w:spacing w:after="180" w:line="240" w:lineRule="exact"/>
        <w:rPr>
          <w:rFonts w:hint="default"/>
          <w:b/>
          <w:bCs/>
          <w:i/>
          <w:iCs/>
          <w:sz w:val="20"/>
          <w:szCs w:val="20"/>
          <w:lang w:val="en-US" w:eastAsia="zh-CN"/>
        </w:rPr>
      </w:pPr>
      <w:r>
        <w:rPr>
          <w:rFonts w:hint="eastAsia"/>
          <w:b/>
          <w:bCs/>
          <w:i/>
          <w:iCs/>
          <w:sz w:val="20"/>
          <w:szCs w:val="20"/>
          <w:lang w:val="en-US" w:eastAsia="zh-CN"/>
        </w:rPr>
        <w:t xml:space="preserve">Proposal 2: for FG 39-3-3, it is proposed that </w:t>
      </w:r>
      <w:r>
        <w:rPr>
          <w:rFonts w:hint="default"/>
          <w:b/>
          <w:bCs/>
          <w:i/>
          <w:iCs/>
          <w:sz w:val="20"/>
          <w:szCs w:val="20"/>
          <w:lang w:val="en-US" w:eastAsia="zh-CN"/>
        </w:rPr>
        <w:t>‘total cells of serving cells and neighbouring cells’ includes only the LTM candidate cell(s), any of which can be one current serving cell or not.</w:t>
      </w:r>
    </w:p>
    <w:p w14:paraId="413E53BA">
      <w:pPr>
        <w:spacing w:after="180" w:line="240" w:lineRule="exact"/>
        <w:rPr>
          <w:rFonts w:hint="eastAsia"/>
          <w:sz w:val="20"/>
          <w:szCs w:val="20"/>
          <w:lang w:val="en-US" w:eastAsia="zh-CN"/>
        </w:rPr>
      </w:pPr>
      <w:r>
        <w:rPr>
          <w:rFonts w:hint="eastAsia"/>
          <w:sz w:val="20"/>
          <w:szCs w:val="20"/>
          <w:lang w:val="en-US" w:eastAsia="zh-CN"/>
        </w:rPr>
        <w:t xml:space="preserve">For 39-3-5, the open issue is that companies has different views about </w:t>
      </w:r>
      <w:r>
        <w:rPr>
          <w:rFonts w:hint="default"/>
          <w:sz w:val="20"/>
          <w:szCs w:val="20"/>
          <w:lang w:val="en-US" w:eastAsia="zh-CN"/>
        </w:rPr>
        <w:t>“number of SSB resources UE can measure for L1-RSRP per frequency layer”</w:t>
      </w:r>
      <w:r>
        <w:rPr>
          <w:rFonts w:hint="eastAsia"/>
          <w:sz w:val="20"/>
          <w:szCs w:val="20"/>
          <w:lang w:val="en-US" w:eastAsia="zh-CN"/>
        </w:rPr>
        <w:t>.</w:t>
      </w:r>
    </w:p>
    <w:p w14:paraId="12813109">
      <w:pPr>
        <w:spacing w:after="180" w:line="240" w:lineRule="exact"/>
        <w:rPr>
          <w:rFonts w:hint="eastAsia"/>
          <w:sz w:val="20"/>
          <w:szCs w:val="20"/>
          <w:lang w:val="en-US" w:eastAsia="zh-CN"/>
        </w:rPr>
      </w:pPr>
      <w:r>
        <w:rPr>
          <w:rFonts w:hint="eastAsia"/>
          <w:sz w:val="20"/>
          <w:szCs w:val="20"/>
          <w:lang w:val="en-US" w:eastAsia="zh-CN"/>
        </w:rPr>
        <w:t xml:space="preserve">Option 1: ‘number of SSB resources UE can measure for L1-RSRP per frequency layer’ includes only the SSB resources configured for LTM candidate cell(s), any of which can be one current serving cell or not. </w:t>
      </w:r>
    </w:p>
    <w:p w14:paraId="6E283D46">
      <w:pPr>
        <w:spacing w:after="180" w:line="240" w:lineRule="exact"/>
        <w:rPr>
          <w:rFonts w:hint="eastAsia"/>
          <w:sz w:val="20"/>
          <w:szCs w:val="20"/>
          <w:lang w:val="en-US" w:eastAsia="zh-CN"/>
        </w:rPr>
      </w:pPr>
      <w:r>
        <w:rPr>
          <w:rFonts w:hint="eastAsia"/>
          <w:sz w:val="20"/>
          <w:szCs w:val="20"/>
          <w:lang w:val="en-US" w:eastAsia="zh-CN"/>
        </w:rPr>
        <w:t xml:space="preserve">Option 2: ‘number of SSB resources UE can measure for L1-RSRP per frequency layer’ includes both LTM candidate cell(s) and SSBs from serving cells, including the serving cells that are not configured with LTM L1 measurements, i.e. SSB resources configured by CSI-MeasConfig are also counted. </w:t>
      </w:r>
    </w:p>
    <w:p w14:paraId="6E4AD5CE">
      <w:pPr>
        <w:spacing w:after="180" w:line="240" w:lineRule="exact"/>
        <w:rPr>
          <w:rFonts w:hint="eastAsia"/>
          <w:sz w:val="20"/>
          <w:szCs w:val="20"/>
          <w:lang w:val="en-US" w:eastAsia="zh-CN"/>
        </w:rPr>
      </w:pPr>
      <w:r>
        <w:rPr>
          <w:rFonts w:hint="eastAsia"/>
          <w:sz w:val="20"/>
          <w:szCs w:val="20"/>
          <w:lang w:val="en-US" w:eastAsia="zh-CN"/>
        </w:rPr>
        <w:t>Similar view as that for FG39-3-3, our preference is option 1, since this is for LTM, only the SSB resources configured for LTM candidate cell(s) are considered.</w:t>
      </w:r>
    </w:p>
    <w:p w14:paraId="1D25386A">
      <w:pPr>
        <w:spacing w:after="180" w:line="240" w:lineRule="exact"/>
        <w:rPr>
          <w:rFonts w:hint="default"/>
          <w:b/>
          <w:bCs/>
          <w:i/>
          <w:iCs/>
          <w:sz w:val="20"/>
          <w:szCs w:val="20"/>
          <w:lang w:val="en-US" w:eastAsia="zh-CN"/>
        </w:rPr>
      </w:pPr>
      <w:r>
        <w:rPr>
          <w:rFonts w:hint="eastAsia"/>
          <w:b/>
          <w:bCs/>
          <w:i/>
          <w:iCs/>
          <w:sz w:val="20"/>
          <w:szCs w:val="20"/>
          <w:lang w:val="en-US" w:eastAsia="zh-CN"/>
        </w:rPr>
        <w:t xml:space="preserve">Proposal 3: for FG 39-3-5, it is proposed that </w:t>
      </w:r>
      <w:r>
        <w:rPr>
          <w:rFonts w:hint="default"/>
          <w:b/>
          <w:bCs/>
          <w:i/>
          <w:iCs/>
          <w:sz w:val="20"/>
          <w:szCs w:val="20"/>
          <w:lang w:val="en-US" w:eastAsia="zh-CN"/>
        </w:rPr>
        <w:t>“</w:t>
      </w:r>
      <w:r>
        <w:rPr>
          <w:rFonts w:hint="eastAsia"/>
          <w:b/>
          <w:bCs/>
          <w:i/>
          <w:iCs/>
          <w:sz w:val="20"/>
          <w:szCs w:val="20"/>
          <w:lang w:val="en-US" w:eastAsia="zh-CN"/>
        </w:rPr>
        <w:t>number of SSB resources UE can measure for L1-RSRP per frequency layer”includes only the SSB resources configured for LTM candidate cell(s), any of which can be one current serving cell or not</w:t>
      </w:r>
    </w:p>
    <w:p w14:paraId="14A64694">
      <w:pPr>
        <w:spacing w:after="180" w:line="240" w:lineRule="exact"/>
        <w:rPr>
          <w:rFonts w:hint="eastAsia" w:ascii="Times New Roman" w:hAnsi="Times New Roman"/>
          <w:b/>
          <w:bCs/>
          <w:i/>
          <w:iCs/>
          <w:sz w:val="20"/>
          <w:szCs w:val="20"/>
          <w:lang w:val="en-US" w:eastAsia="zh-CN"/>
        </w:rPr>
      </w:pPr>
    </w:p>
    <w:bookmarkEnd w:id="6"/>
    <w:bookmarkEnd w:id="7"/>
    <w:p w14:paraId="0CF1F32F">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49E84DC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highlight w:val="none"/>
          <w:lang w:val="en-US" w:eastAsia="zh-CN"/>
        </w:rPr>
        <w:t>issue</w:t>
      </w:r>
      <w:r>
        <w:rPr>
          <w:rFonts w:hint="eastAsia"/>
          <w:sz w:val="20"/>
          <w:szCs w:val="20"/>
          <w:highlight w:val="none"/>
          <w:lang w:val="en-US" w:eastAsia="zh-CN"/>
        </w:rPr>
        <w:t xml:space="preserve"> about collision between SSB and RA occasion for LTM</w:t>
      </w:r>
      <w:r>
        <w:rPr>
          <w:rFonts w:hint="eastAsia" w:ascii="Times New Roman" w:hAnsi="Times New Roman"/>
          <w:sz w:val="20"/>
          <w:szCs w:val="20"/>
        </w:rPr>
        <w:t>. The proposals are:</w:t>
      </w:r>
    </w:p>
    <w:p w14:paraId="2DF3F435">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for the collision between SSB and RO, it is proposed to prioritize PRACH tramsmission</w:t>
      </w:r>
      <w:r>
        <w:rPr>
          <w:rFonts w:hint="eastAsia" w:ascii="Times New Roman" w:hAnsi="Times New Roman"/>
          <w:b/>
          <w:bCs/>
          <w:i/>
          <w:iCs/>
          <w:sz w:val="20"/>
          <w:szCs w:val="20"/>
          <w:lang w:val="en-US" w:eastAsia="zh-CN"/>
        </w:rPr>
        <w:t>.</w:t>
      </w:r>
    </w:p>
    <w:p w14:paraId="6FEEF483">
      <w:pPr>
        <w:spacing w:after="180" w:line="240" w:lineRule="exact"/>
        <w:rPr>
          <w:rFonts w:hint="default"/>
          <w:b/>
          <w:bCs/>
          <w:i/>
          <w:iCs/>
          <w:sz w:val="20"/>
          <w:szCs w:val="20"/>
          <w:lang w:val="en-US" w:eastAsia="zh-CN"/>
        </w:rPr>
      </w:pPr>
      <w:r>
        <w:rPr>
          <w:rFonts w:hint="eastAsia"/>
          <w:b/>
          <w:bCs/>
          <w:i/>
          <w:iCs/>
          <w:sz w:val="20"/>
          <w:szCs w:val="20"/>
          <w:lang w:val="en-US" w:eastAsia="zh-CN"/>
        </w:rPr>
        <w:t xml:space="preserve">Proposal 2: for FG 39-3-3, it is proposed that </w:t>
      </w:r>
      <w:r>
        <w:rPr>
          <w:rFonts w:hint="default"/>
          <w:b/>
          <w:bCs/>
          <w:i/>
          <w:iCs/>
          <w:sz w:val="20"/>
          <w:szCs w:val="20"/>
          <w:lang w:val="en-US" w:eastAsia="zh-CN"/>
        </w:rPr>
        <w:t>‘total cells of serving cells and neighbouring cells’ includes only the LTM candidate cell(s), any of which can be one current serving cell or not.</w:t>
      </w:r>
    </w:p>
    <w:p w14:paraId="22077180">
      <w:pPr>
        <w:spacing w:after="180" w:line="240" w:lineRule="exact"/>
        <w:rPr>
          <w:rFonts w:hint="default" w:ascii="Times New Roman" w:hAnsi="Times New Roman"/>
          <w:sz w:val="20"/>
          <w:szCs w:val="20"/>
          <w:lang w:val="en-US"/>
        </w:rPr>
      </w:pPr>
      <w:r>
        <w:rPr>
          <w:rFonts w:hint="eastAsia"/>
          <w:b/>
          <w:bCs/>
          <w:i/>
          <w:iCs/>
          <w:sz w:val="20"/>
          <w:szCs w:val="20"/>
          <w:lang w:val="en-US" w:eastAsia="zh-CN"/>
        </w:rPr>
        <w:t xml:space="preserve">Proposal 3: for FG 39-3-5, it is proposed that </w:t>
      </w:r>
      <w:r>
        <w:rPr>
          <w:rFonts w:hint="default"/>
          <w:b/>
          <w:bCs/>
          <w:i/>
          <w:iCs/>
          <w:sz w:val="20"/>
          <w:szCs w:val="20"/>
          <w:lang w:val="en-US" w:eastAsia="zh-CN"/>
        </w:rPr>
        <w:t>“</w:t>
      </w:r>
      <w:r>
        <w:rPr>
          <w:rFonts w:hint="eastAsia"/>
          <w:b/>
          <w:bCs/>
          <w:i/>
          <w:iCs/>
          <w:sz w:val="20"/>
          <w:szCs w:val="20"/>
          <w:lang w:val="en-US" w:eastAsia="zh-CN"/>
        </w:rPr>
        <w:t>number of SSB resources UE can measure for L1-RSRP per frequency layer”includes only the SSB resources configured for LTM candidate cell(s), any of which can be one current serving cell or not.</w:t>
      </w:r>
    </w:p>
    <w:p w14:paraId="7C205047">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4C96379">
      <w:pPr>
        <w:pStyle w:val="16"/>
        <w:framePr w:wrap="auto" w:vAnchor="margin" w:hAnchor="text" w:yAlign="inline"/>
        <w:numPr>
          <w:ilvl w:val="0"/>
          <w:numId w:val="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R4-2420234, WF on Further NR mobility enhancements, MediaTek Inc.</w:t>
      </w:r>
    </w:p>
    <w:p w14:paraId="7F4EDEEF">
      <w:pPr>
        <w:pStyle w:val="16"/>
        <w:framePr w:wrap="auto" w:vAnchor="margin" w:hAnchor="text" w:yAlign="inline"/>
        <w:numPr>
          <w:ilvl w:val="0"/>
          <w:numId w:val="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R4-2500008 (R1-2410911), LS on collision between SSB and RA occasion for LTM</w:t>
      </w:r>
    </w:p>
    <w:p w14:paraId="388F5143">
      <w:pPr>
        <w:pStyle w:val="16"/>
        <w:framePr w:wrap="auto" w:vAnchor="margin" w:hAnchor="text" w:yAlign="inline"/>
        <w:numPr>
          <w:ilvl w:val="0"/>
          <w:numId w:val="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R4-2406502, WF on NR mobility enhancements (part 1), MediaTek Inc.</w:t>
      </w:r>
    </w:p>
    <w:p w14:paraId="4C196312">
      <w:pPr>
        <w:pStyle w:val="16"/>
        <w:framePr w:wrap="auto" w:vAnchor="margin" w:hAnchor="text" w:yAlign="inline"/>
        <w:numPr>
          <w:ilvl w:val="0"/>
          <w:numId w:val="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R4-2413960, WF on Further NR mobility enhancements, MediaTek Inc.</w:t>
      </w:r>
    </w:p>
    <w:p w14:paraId="0BE3721A">
      <w:pPr>
        <w:pStyle w:val="16"/>
        <w:framePr w:wrap="auto" w:vAnchor="margin" w:hAnchor="text" w:yAlign="inline"/>
        <w:numPr>
          <w:ilvl w:val="0"/>
          <w:numId w:val="5"/>
        </w:numPr>
        <w:ind w:right="400"/>
        <w:jc w:val="both"/>
        <w:rPr>
          <w:rFonts w:hint="default" w:ascii="Times" w:hAnsi="Times" w:eastAsia="宋体"/>
          <w:b w:val="0"/>
          <w:sz w:val="20"/>
          <w:lang w:val="en-US" w:eastAsia="zh-CN"/>
        </w:rPr>
      </w:pPr>
      <w:r>
        <w:rPr>
          <w:rFonts w:hint="default" w:ascii="Times" w:hAnsi="Times" w:eastAsia="宋体"/>
          <w:b w:val="0"/>
          <w:sz w:val="20"/>
          <w:lang w:val="en-US" w:eastAsia="zh-CN"/>
        </w:rPr>
        <w:t>R4-2410302</w:t>
      </w:r>
      <w:r>
        <w:rPr>
          <w:rFonts w:hint="eastAsia" w:ascii="Times" w:hAnsi="Times" w:eastAsia="宋体"/>
          <w:b w:val="0"/>
          <w:sz w:val="20"/>
          <w:lang w:val="en-US" w:eastAsia="zh-CN"/>
        </w:rPr>
        <w:t>, WF on NR mobility enhancements (part 1), MediaTek Inc.</w:t>
      </w:r>
    </w:p>
    <w:p w14:paraId="26858D36">
      <w:pPr>
        <w:pStyle w:val="16"/>
        <w:framePr w:wrap="auto" w:vAnchor="margin" w:hAnchor="text" w:yAlign="inline"/>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[3] R4-2321621, WF on NR mobility enhancements (part 1), MediaTek Inc.</w:t>
      </w:r>
    </w:p>
    <w:p w14:paraId="4D1DCB62">
      <w:pPr>
        <w:pStyle w:val="16"/>
        <w:framePr w:wrap="auto" w:vAnchor="margin" w:hAnchor="text" w:yAlign="inline"/>
        <w:ind w:right="400"/>
        <w:jc w:val="both"/>
        <w:rPr>
          <w:rFonts w:hint="default" w:ascii="Times" w:hAnsi="Times" w:eastAsia="宋体"/>
          <w:b w:val="0"/>
          <w:sz w:val="20"/>
          <w:lang w:val="en-US" w:eastAsia="zh-CN"/>
        </w:rPr>
      </w:pPr>
      <w:r>
        <w:rPr>
          <w:rFonts w:hint="eastAsia" w:ascii="Times" w:hAnsi="Times" w:eastAsia="宋体"/>
          <w:b w:val="0"/>
          <w:sz w:val="20"/>
          <w:lang w:val="en-US" w:eastAsia="zh-CN"/>
        </w:rPr>
        <w:t>[4] R4-2403385, WF on NR mobility enhancements (part 1), MediaTek Inc.</w:t>
      </w:r>
    </w:p>
    <w:p w14:paraId="5C87BCDA">
      <w:pPr>
        <w:pStyle w:val="16"/>
        <w:framePr w:wrap="auto" w:vAnchor="margin" w:hAnchor="text" w:yAlign="inline"/>
        <w:ind w:right="400"/>
        <w:jc w:val="both"/>
        <w:rPr>
          <w:rFonts w:hint="default" w:ascii="Times" w:hAnsi="Times" w:eastAsia="宋体"/>
          <w:b w:val="0"/>
          <w:sz w:val="20"/>
          <w:lang w:val="en-US" w:eastAsia="zh-CN"/>
        </w:rPr>
      </w:pPr>
    </w:p>
    <w:p w14:paraId="2775B217">
      <w:pPr>
        <w:pStyle w:val="16"/>
        <w:framePr w:wrap="auto" w:vAnchor="margin" w:hAnchor="text" w:yAlign="inline"/>
        <w:ind w:right="400"/>
        <w:jc w:val="both"/>
        <w:rPr>
          <w:rFonts w:hint="eastAsia" w:ascii="Times" w:hAnsi="Times" w:eastAsia="宋体"/>
          <w:b w:val="0"/>
          <w:sz w:val="20"/>
          <w:lang w:eastAsia="zh-CN"/>
        </w:rPr>
      </w:pPr>
    </w:p>
    <w:p w14:paraId="3A87C6C4"/>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556F1"/>
    <w:multiLevelType w:val="multilevel"/>
    <w:tmpl w:val="109556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ECACDE"/>
    <w:multiLevelType w:val="singleLevel"/>
    <w:tmpl w:val="18ECACDE"/>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DBB55B1"/>
    <w:multiLevelType w:val="multilevel"/>
    <w:tmpl w:val="7DBB55B1"/>
    <w:lvl w:ilvl="0" w:tentative="0">
      <w:start w:val="1"/>
      <w:numFmt w:val="decimal"/>
      <w:lvlText w:val="%1."/>
      <w:lvlJc w:val="left"/>
      <w:pPr>
        <w:ind w:left="360" w:hanging="360"/>
      </w:pPr>
      <w:rPr>
        <w:rFonts w:eastAsia="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C5EF7"/>
    <w:rsid w:val="19DC4504"/>
    <w:rsid w:val="1E2F2CF8"/>
    <w:rsid w:val="1FF61BF9"/>
    <w:rsid w:val="318943F3"/>
    <w:rsid w:val="398F6A82"/>
    <w:rsid w:val="3CA21308"/>
    <w:rsid w:val="42C56DAF"/>
    <w:rsid w:val="495D254A"/>
    <w:rsid w:val="497A3BC8"/>
    <w:rsid w:val="4C6F7406"/>
    <w:rsid w:val="57DA65CC"/>
    <w:rsid w:val="64E07C3C"/>
    <w:rsid w:val="670D6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TAH"/>
    <w:basedOn w:val="13"/>
    <w:qFormat/>
    <w:uiPriority w:val="0"/>
    <w:rPr>
      <w:b/>
      <w:bCs/>
    </w:rPr>
  </w:style>
  <w:style w:type="paragraph" w:customStyle="1" w:styleId="13">
    <w:name w:val="TAC"/>
    <w:basedOn w:val="14"/>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14">
    <w:name w:val="TAL"/>
    <w:basedOn w:val="1"/>
    <w:qFormat/>
    <w:uiPriority w:val="0"/>
    <w:pPr>
      <w:keepNext/>
      <w:keepLines/>
      <w:widowControl/>
      <w:jc w:val="left"/>
    </w:pPr>
    <w:rPr>
      <w:rFonts w:ascii="Arial" w:hAnsi="Arial"/>
      <w:kern w:val="0"/>
      <w:sz w:val="18"/>
      <w:szCs w:val="20"/>
      <w:lang w:val="en-GB" w:eastAsia="en-US"/>
    </w:rPr>
  </w:style>
  <w:style w:type="paragraph" w:customStyle="1" w:styleId="15">
    <w:name w:val="main text"/>
    <w:basedOn w:val="1"/>
    <w:qFormat/>
    <w:uiPriority w:val="0"/>
    <w:pPr>
      <w:spacing w:before="60" w:after="60" w:line="288" w:lineRule="auto"/>
      <w:ind w:firstLine="200" w:firstLineChars="200"/>
      <w:jc w:val="both"/>
    </w:pPr>
    <w:rPr>
      <w:rFonts w:eastAsia="Malgun Gothic"/>
      <w:sz w:val="20"/>
      <w:lang w:eastAsia="ko-KR"/>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styleId="17">
    <w:name w:val="List Paragraph"/>
    <w:basedOn w:val="1"/>
    <w:qFormat/>
    <w:uiPriority w:val="34"/>
    <w:pPr>
      <w:ind w:firstLine="420" w:firstLineChars="200"/>
    </w:pPr>
  </w:style>
  <w:style w:type="paragraph" w:customStyle="1" w:styleId="18">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2024-11-07T10:13:00Z</dcterms:created>
  <dc:creator>cmcc</dc:creator>
  <cp:lastModifiedBy>Jingjing Chen_CMCC</cp:lastModifiedBy>
  <dcterms:modified xsi:type="dcterms:W3CDTF">2025-02-07T08:35:51Z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2E6DE5F8F6804F80987A5CAE0702FAC7_12</vt:lpwstr>
  </property>
</Properties>
</file>